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3273B" w14:textId="77777777" w:rsidR="005B54B8" w:rsidRPr="00971A87" w:rsidRDefault="00AF3273" w:rsidP="005B54B8">
      <w:pPr>
        <w:spacing w:before="362"/>
        <w:ind w:left="1985"/>
        <w:rPr>
          <w:b/>
          <w:color w:val="000000" w:themeColor="text1"/>
          <w:sz w:val="40"/>
        </w:rPr>
      </w:pPr>
      <w:r>
        <w:rPr>
          <w:b/>
          <w:color w:val="000000" w:themeColor="text1"/>
          <w:w w:val="95"/>
          <w:sz w:val="40"/>
        </w:rPr>
        <w:t>U</w:t>
      </w:r>
      <w:r w:rsidR="005B54B8" w:rsidRPr="00971A87">
        <w:rPr>
          <w:b/>
          <w:color w:val="000000" w:themeColor="text1"/>
          <w:w w:val="95"/>
          <w:sz w:val="40"/>
        </w:rPr>
        <w:t>noterede aktier</w:t>
      </w:r>
    </w:p>
    <w:p w14:paraId="6074F359" w14:textId="77777777" w:rsidR="005B54B8" w:rsidRPr="00971A87" w:rsidRDefault="005B54B8" w:rsidP="0032049E">
      <w:pPr>
        <w:spacing w:line="255" w:lineRule="auto"/>
        <w:ind w:left="1985" w:right="339"/>
        <w:rPr>
          <w:color w:val="808080" w:themeColor="background1" w:themeShade="80"/>
        </w:rPr>
      </w:pPr>
      <w:r w:rsidRPr="00971A87">
        <w:rPr>
          <w:color w:val="808080" w:themeColor="background1" w:themeShade="80"/>
        </w:rPr>
        <w:t xml:space="preserve">Når du investerer i </w:t>
      </w:r>
      <w:r w:rsidR="00AF3273">
        <w:rPr>
          <w:color w:val="808080" w:themeColor="background1" w:themeShade="80"/>
        </w:rPr>
        <w:t>u</w:t>
      </w:r>
      <w:r w:rsidRPr="00971A87">
        <w:rPr>
          <w:color w:val="808080" w:themeColor="background1" w:themeShade="80"/>
        </w:rPr>
        <w:t xml:space="preserve">noterede aktier køber du en ejerandel af selskaberne, med ret til at stemme på selskabernes generalforsamling og modtage eventuelle udbytter.   </w:t>
      </w:r>
    </w:p>
    <w:p w14:paraId="01A89346" w14:textId="77777777" w:rsidR="004B28D5" w:rsidRPr="00971A87" w:rsidRDefault="004B28D5" w:rsidP="004B28D5">
      <w:pPr>
        <w:spacing w:after="0" w:line="240" w:lineRule="auto"/>
        <w:rPr>
          <w:color w:val="808080" w:themeColor="background1" w:themeShade="80"/>
        </w:rPr>
        <w:sectPr w:rsidR="004B28D5" w:rsidRPr="00971A87" w:rsidSect="00971A87">
          <w:pgSz w:w="11906" w:h="16838"/>
          <w:pgMar w:top="1304" w:right="964" w:bottom="1304" w:left="964" w:header="709" w:footer="709" w:gutter="0"/>
          <w:cols w:space="708"/>
          <w:docGrid w:linePitch="360"/>
        </w:sectPr>
      </w:pPr>
    </w:p>
    <w:p w14:paraId="3B269429" w14:textId="77777777" w:rsidR="00AF3273" w:rsidRPr="00AF3273" w:rsidRDefault="00AF3273" w:rsidP="00AF3273">
      <w:pPr>
        <w:pStyle w:val="Overskrift1"/>
        <w:ind w:left="0" w:right="46"/>
        <w:rPr>
          <w:rFonts w:asciiTheme="minorHAnsi" w:hAnsiTheme="minorHAnsi"/>
          <w:color w:val="000000" w:themeColor="text1"/>
          <w:lang w:val="da-DK"/>
        </w:rPr>
      </w:pPr>
      <w:r w:rsidRPr="00AF3273">
        <w:rPr>
          <w:rFonts w:asciiTheme="minorHAnsi" w:hAnsiTheme="minorHAnsi"/>
          <w:color w:val="000000" w:themeColor="text1"/>
          <w:lang w:val="da-DK"/>
        </w:rPr>
        <w:t>Hvad er en aktie?</w:t>
      </w:r>
    </w:p>
    <w:p w14:paraId="520EB76B"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At eje en aktie er det samme som at eje en andel af en virksomhed. Ved køb af</w:t>
      </w:r>
      <w:r>
        <w:rPr>
          <w:rFonts w:asciiTheme="minorHAnsi" w:hAnsiTheme="minorHAnsi"/>
          <w:color w:val="808080" w:themeColor="background1" w:themeShade="80"/>
          <w:lang w:val="da-DK"/>
        </w:rPr>
        <w:t xml:space="preserve"> </w:t>
      </w:r>
      <w:r w:rsidRPr="00AF3273">
        <w:rPr>
          <w:rFonts w:asciiTheme="minorHAnsi" w:hAnsiTheme="minorHAnsi"/>
          <w:color w:val="808080" w:themeColor="background1" w:themeShade="80"/>
          <w:lang w:val="da-DK"/>
        </w:rPr>
        <w:t>en aktie, bliver du således medejer af den pågældende virksomhed. Ejerskabet giver ret til en del af selskabets aktiekapital og giver som hovedregel stemmeret på selskabets generalforsamling. En aktie kan navnenoteres, det vil sige, det registreres, at du har købt netop denne aktie, og det giver dig adgang til regnskab og andre informationer fra det pågældende selskab. Nogle selskaber har opdelt deres aktier i flere aktieklasser, typisk A- og B-aktier. A-aktier har ofte et højere antal stemmer end B, og modsat kan B-aktier have et højere udbytte end A-aktier.</w:t>
      </w:r>
    </w:p>
    <w:p w14:paraId="199F76F7"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p>
    <w:p w14:paraId="15A39536" w14:textId="77777777" w:rsidR="00AF3273" w:rsidRPr="00AF3273" w:rsidRDefault="00AF3273" w:rsidP="00AF3273">
      <w:pPr>
        <w:pStyle w:val="Overskrift1"/>
        <w:ind w:left="0" w:right="46"/>
        <w:rPr>
          <w:rFonts w:asciiTheme="minorHAnsi" w:hAnsiTheme="minorHAnsi"/>
          <w:color w:val="000000" w:themeColor="text1"/>
          <w:lang w:val="da-DK"/>
        </w:rPr>
      </w:pPr>
      <w:r w:rsidRPr="00AF3273">
        <w:rPr>
          <w:rFonts w:asciiTheme="minorHAnsi" w:hAnsiTheme="minorHAnsi"/>
          <w:color w:val="000000" w:themeColor="text1"/>
          <w:lang w:val="da-DK"/>
        </w:rPr>
        <w:t>Hvordan købes en unoteret aktie?</w:t>
      </w:r>
    </w:p>
    <w:p w14:paraId="3F9FE3ED"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Et unoteret selskab handles ikke på en børs, hvorfor omsætteligheden er betydelig dårligere end på fondsbørsen.</w:t>
      </w:r>
    </w:p>
    <w:p w14:paraId="73F7D47C"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Køber er derfor nødt til at finde en sælger, for at kunne købe aktien, og omvendt ved salg.</w:t>
      </w:r>
    </w:p>
    <w:p w14:paraId="059F8DA4"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p>
    <w:p w14:paraId="550971F7"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Kursen på en unoteret aktie er ofte udtryk for selskabets indre værdi delt med antallet af aktier med et fradrag eller tillæg afhængig af, om det er et køb eller salg. Da der ikke er en marked</w:t>
      </w:r>
      <w:r>
        <w:rPr>
          <w:rFonts w:asciiTheme="minorHAnsi" w:hAnsiTheme="minorHAnsi"/>
          <w:color w:val="808080" w:themeColor="background1" w:themeShade="80"/>
          <w:lang w:val="da-DK"/>
        </w:rPr>
        <w:t>s</w:t>
      </w:r>
      <w:r w:rsidRPr="00AF3273">
        <w:rPr>
          <w:rFonts w:asciiTheme="minorHAnsi" w:hAnsiTheme="minorHAnsi"/>
          <w:color w:val="808080" w:themeColor="background1" w:themeShade="80"/>
          <w:lang w:val="da-DK"/>
        </w:rPr>
        <w:t xml:space="preserve">kurs til at prissætte værdien af selskabet, tages der ofte udgangspunkt i den indre værdi af aktien. Denne opgøres ofte kun en gang om året i forbindelse med afslutning af årsregnskabet. </w:t>
      </w:r>
    </w:p>
    <w:p w14:paraId="66660312"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p>
    <w:p w14:paraId="5A3D52C1" w14:textId="65CB6BF0" w:rsidR="00AF3273" w:rsidRPr="00AF3273" w:rsidRDefault="00AF3273" w:rsidP="00CF3924">
      <w:pPr>
        <w:pStyle w:val="Brdtekst"/>
        <w:spacing w:before="2" w:line="244" w:lineRule="auto"/>
        <w:rPr>
          <w:rFonts w:asciiTheme="minorHAnsi" w:hAnsiTheme="minorHAnsi"/>
          <w:color w:val="000000" w:themeColor="text1"/>
          <w:lang w:val="da-DK"/>
        </w:rPr>
      </w:pPr>
      <w:r w:rsidRPr="00AF3273">
        <w:rPr>
          <w:rFonts w:asciiTheme="minorHAnsi" w:hAnsiTheme="minorHAnsi"/>
          <w:color w:val="808080" w:themeColor="background1" w:themeShade="80"/>
          <w:lang w:val="da-DK"/>
        </w:rPr>
        <w:t>Kursen kan også fastsættes ud fra opstillede forventninger til selskabets fremtidige indtjening og den begrænsede mulighed for omsættelighed af aktien. Denne metode kan give en værdi, som afviger markant i forhold til indre værdi.</w:t>
      </w:r>
      <w:r w:rsidR="00CF3924">
        <w:rPr>
          <w:rFonts w:asciiTheme="minorHAnsi" w:hAnsiTheme="minorHAnsi"/>
          <w:color w:val="808080" w:themeColor="background1" w:themeShade="80"/>
          <w:lang w:val="da-DK"/>
        </w:rPr>
        <w:br w:type="column"/>
      </w:r>
      <w:r w:rsidRPr="00AF3273">
        <w:rPr>
          <w:rFonts w:asciiTheme="minorHAnsi" w:hAnsiTheme="minorHAnsi"/>
          <w:color w:val="000000" w:themeColor="text1"/>
          <w:lang w:val="da-DK"/>
        </w:rPr>
        <w:t>Afkast på aktier</w:t>
      </w:r>
    </w:p>
    <w:p w14:paraId="7D9CA78D"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 xml:space="preserve">Afkastet på aktier består dels af aktieudbytte fra selskabet og dels af kursændringer over tid. Aktieudbytte er et udtryk for, hvor stor en del af selskabets overskud, der udbetales til aktionærerne. Aktieudbyttets størrelse besluttes på selskabets generalforsamling. Kursændringen er et udtryk for at aktiens værdi svinger over tid. </w:t>
      </w:r>
    </w:p>
    <w:p w14:paraId="7DD4CC92"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p>
    <w:p w14:paraId="67B90315" w14:textId="77777777" w:rsidR="00AF3273" w:rsidRPr="00CB5FC1" w:rsidRDefault="00AF3273" w:rsidP="00AF3273">
      <w:pPr>
        <w:pStyle w:val="Overskrift1"/>
        <w:ind w:left="0"/>
        <w:rPr>
          <w:rFonts w:asciiTheme="minorHAnsi" w:hAnsiTheme="minorHAnsi"/>
          <w:color w:val="000000" w:themeColor="text1"/>
          <w:lang w:val="da-DK"/>
        </w:rPr>
      </w:pPr>
      <w:r w:rsidRPr="00CB5FC1">
        <w:rPr>
          <w:rFonts w:asciiTheme="minorHAnsi" w:hAnsiTheme="minorHAnsi"/>
          <w:color w:val="000000" w:themeColor="text1"/>
          <w:lang w:val="da-DK"/>
        </w:rPr>
        <w:t>Hvad er risikoen?</w:t>
      </w:r>
    </w:p>
    <w:p w14:paraId="19C34BE6" w14:textId="665D6A6C" w:rsidR="00AF3273" w:rsidRPr="00AF3273" w:rsidRDefault="00AF3273" w:rsidP="00AF3273">
      <w:pPr>
        <w:pStyle w:val="Brdtekst"/>
        <w:spacing w:before="2" w:line="244" w:lineRule="auto"/>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Fastsættelsen af handelskursen på en unoteret aktie kan svinge betydeligt i forhold til indre værdi afhængigt af, hvordan forventningerne til indtjening i den pågældende virksomhed udvikler sig. Disse forventninger påvirkes af den generelle økonomiske situation samt udviklingen på det marked, hvor virksomheden befinder sig. I værste fald – hvis virksomheden går konkurs – kan investor tabe hele det investerede beløb.</w:t>
      </w:r>
    </w:p>
    <w:p w14:paraId="74437784"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p>
    <w:p w14:paraId="5B4CEF4C"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Risiko kan opdeles i selskabs-, og markeds- og valutarisiko</w:t>
      </w:r>
      <w:r>
        <w:rPr>
          <w:rFonts w:asciiTheme="minorHAnsi" w:hAnsiTheme="minorHAnsi"/>
          <w:color w:val="808080" w:themeColor="background1" w:themeShade="80"/>
          <w:lang w:val="da-DK"/>
        </w:rPr>
        <w:t>.</w:t>
      </w:r>
    </w:p>
    <w:p w14:paraId="318529A0" w14:textId="627FE463" w:rsidR="00AF3273" w:rsidRDefault="00AF3273" w:rsidP="00AF3273">
      <w:pPr>
        <w:pStyle w:val="Brdtekst"/>
        <w:spacing w:before="2" w:line="244" w:lineRule="auto"/>
        <w:rPr>
          <w:rFonts w:asciiTheme="minorHAnsi" w:hAnsiTheme="minorHAnsi"/>
          <w:i/>
          <w:lang w:val="da-DK"/>
        </w:rPr>
      </w:pPr>
    </w:p>
    <w:p w14:paraId="5C9AB1FF" w14:textId="3C4A723F" w:rsidR="00AF3273" w:rsidRPr="00AF3273" w:rsidRDefault="00AF3273" w:rsidP="00AF3273">
      <w:pPr>
        <w:pStyle w:val="Brdtekst"/>
        <w:spacing w:before="2" w:line="244" w:lineRule="auto"/>
        <w:rPr>
          <w:rFonts w:asciiTheme="minorHAnsi" w:hAnsiTheme="minorHAnsi"/>
          <w:color w:val="808080" w:themeColor="background1" w:themeShade="80"/>
          <w:lang w:val="da-DK"/>
        </w:rPr>
      </w:pPr>
      <w:r w:rsidRPr="00AF3273">
        <w:rPr>
          <w:rFonts w:asciiTheme="minorHAnsi" w:hAnsiTheme="minorHAnsi"/>
          <w:i/>
          <w:lang w:val="da-DK"/>
        </w:rPr>
        <w:t>Selskabsrisiko</w:t>
      </w:r>
      <w:r w:rsidRPr="00AF3273">
        <w:rPr>
          <w:rFonts w:asciiTheme="minorHAnsi" w:hAnsiTheme="minorHAnsi"/>
          <w:color w:val="808080" w:themeColor="background1" w:themeShade="80"/>
          <w:lang w:val="da-DK"/>
        </w:rPr>
        <w:t xml:space="preserve"> er den risiko, der er forbundet med det enkelte selskab</w:t>
      </w:r>
      <w:r>
        <w:rPr>
          <w:rFonts w:asciiTheme="minorHAnsi" w:hAnsiTheme="minorHAnsi"/>
          <w:color w:val="808080" w:themeColor="background1" w:themeShade="80"/>
          <w:lang w:val="da-DK"/>
        </w:rPr>
        <w:t xml:space="preserve"> </w:t>
      </w:r>
      <w:r w:rsidRPr="00AF3273">
        <w:rPr>
          <w:rFonts w:asciiTheme="minorHAnsi" w:hAnsiTheme="minorHAnsi"/>
          <w:color w:val="808080" w:themeColor="background1" w:themeShade="80"/>
          <w:lang w:val="da-DK"/>
        </w:rPr>
        <w:t>og kan f.eks. være indtjenings</w:t>
      </w:r>
      <w:r>
        <w:rPr>
          <w:rFonts w:asciiTheme="minorHAnsi" w:hAnsiTheme="minorHAnsi"/>
          <w:color w:val="808080" w:themeColor="background1" w:themeShade="80"/>
          <w:lang w:val="da-DK"/>
        </w:rPr>
        <w:t>-</w:t>
      </w:r>
      <w:r w:rsidRPr="00AF3273">
        <w:rPr>
          <w:rFonts w:asciiTheme="minorHAnsi" w:hAnsiTheme="minorHAnsi"/>
          <w:color w:val="808080" w:themeColor="background1" w:themeShade="80"/>
          <w:lang w:val="da-DK"/>
        </w:rPr>
        <w:t>vanskeligheder, afhængighed af bestemte kunder nøglepersoner eller andet.</w:t>
      </w:r>
    </w:p>
    <w:p w14:paraId="35AB596E" w14:textId="4B200C67" w:rsidR="00AF3273" w:rsidRDefault="00AF3273" w:rsidP="00AF3273">
      <w:pPr>
        <w:pStyle w:val="Brdtekst"/>
        <w:spacing w:before="2" w:line="244" w:lineRule="auto"/>
        <w:rPr>
          <w:rFonts w:asciiTheme="minorHAnsi" w:hAnsiTheme="minorHAnsi"/>
          <w:i/>
          <w:lang w:val="da-DK"/>
        </w:rPr>
      </w:pPr>
    </w:p>
    <w:p w14:paraId="0992A9FB" w14:textId="4CF20DF2" w:rsidR="00AF3273" w:rsidRPr="00AF3273" w:rsidRDefault="00AF3273" w:rsidP="00AF3273">
      <w:pPr>
        <w:pStyle w:val="Brdtekst"/>
        <w:spacing w:before="2" w:line="244" w:lineRule="auto"/>
        <w:rPr>
          <w:rFonts w:asciiTheme="minorHAnsi" w:hAnsiTheme="minorHAnsi"/>
          <w:color w:val="808080" w:themeColor="background1" w:themeShade="80"/>
          <w:lang w:val="da-DK"/>
        </w:rPr>
      </w:pPr>
      <w:r w:rsidRPr="00AF3273">
        <w:rPr>
          <w:rFonts w:asciiTheme="minorHAnsi" w:hAnsiTheme="minorHAnsi"/>
          <w:i/>
          <w:lang w:val="da-DK"/>
        </w:rPr>
        <w:t>Markedsrisiko</w:t>
      </w:r>
      <w:r w:rsidRPr="00AF3273">
        <w:rPr>
          <w:rFonts w:asciiTheme="minorHAnsi" w:hAnsiTheme="minorHAnsi"/>
          <w:color w:val="808080" w:themeColor="background1" w:themeShade="80"/>
          <w:lang w:val="da-DK"/>
        </w:rPr>
        <w:t xml:space="preserve"> er en risiko fælles for alle selskaber eller en gruppe af selskaber, som beskæftiger sig med</w:t>
      </w:r>
    </w:p>
    <w:p w14:paraId="5A2A475F" w14:textId="3D16D3D5" w:rsidR="00AF3273" w:rsidRPr="00AF3273" w:rsidRDefault="00AF3273" w:rsidP="00AF3273">
      <w:pPr>
        <w:pStyle w:val="Brdtekst"/>
        <w:spacing w:before="2" w:line="244" w:lineRule="auto"/>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samme område. Som udgangspunkt er der tale om udefrakommende begivenheder eller ændringer, der påvirker alle selskaber inden for enkelte brancher eller i et enkelt land. Det kan f.eks. være konjunktur</w:t>
      </w:r>
      <w:r>
        <w:rPr>
          <w:rFonts w:asciiTheme="minorHAnsi" w:hAnsiTheme="minorHAnsi"/>
          <w:color w:val="808080" w:themeColor="background1" w:themeShade="80"/>
          <w:lang w:val="da-DK"/>
        </w:rPr>
        <w:t>-</w:t>
      </w:r>
      <w:r w:rsidRPr="00AF3273">
        <w:rPr>
          <w:rFonts w:asciiTheme="minorHAnsi" w:hAnsiTheme="minorHAnsi"/>
          <w:color w:val="808080" w:themeColor="background1" w:themeShade="80"/>
          <w:lang w:val="da-DK"/>
        </w:rPr>
        <w:t>bevægelser, renteudvikling eller politiske faktorer, som ændrer markedssituationen i en bestemt branche.</w:t>
      </w:r>
      <w:r w:rsidR="00CF3924">
        <w:rPr>
          <w:rFonts w:asciiTheme="minorHAnsi" w:hAnsiTheme="minorHAnsi"/>
          <w:color w:val="808080" w:themeColor="background1" w:themeShade="80"/>
          <w:lang w:val="da-DK"/>
        </w:rPr>
        <w:br w:type="column"/>
      </w:r>
      <w:r w:rsidRPr="00AF3273">
        <w:rPr>
          <w:rFonts w:asciiTheme="minorHAnsi" w:hAnsiTheme="minorHAnsi"/>
          <w:i/>
          <w:lang w:val="da-DK"/>
        </w:rPr>
        <w:t xml:space="preserve">Valutakursrisiko </w:t>
      </w:r>
      <w:r w:rsidRPr="00AF3273">
        <w:rPr>
          <w:rFonts w:asciiTheme="minorHAnsi" w:hAnsiTheme="minorHAnsi"/>
          <w:color w:val="808080" w:themeColor="background1" w:themeShade="80"/>
          <w:lang w:val="da-DK"/>
        </w:rPr>
        <w:t xml:space="preserve">er risikoen for udsving i valutakursen for aktier som handles i en anden valuta. Dermed er valutakursrisikoen ikke til stede for unoterede aktier handlet i danske kroner. </w:t>
      </w:r>
    </w:p>
    <w:p w14:paraId="14890492"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p>
    <w:p w14:paraId="67810537" w14:textId="77777777" w:rsidR="00AF3273" w:rsidRPr="00AF3273" w:rsidRDefault="00AF3273" w:rsidP="00AF3273">
      <w:pPr>
        <w:pStyle w:val="Brdtekst"/>
        <w:spacing w:before="2" w:line="244" w:lineRule="auto"/>
        <w:rPr>
          <w:rFonts w:asciiTheme="minorHAnsi" w:eastAsia="Cambria" w:hAnsiTheme="minorHAnsi" w:cs="Cambria"/>
          <w:b/>
          <w:bCs/>
          <w:color w:val="000000" w:themeColor="text1"/>
          <w:lang w:val="da-DK"/>
        </w:rPr>
      </w:pPr>
      <w:r w:rsidRPr="00AF3273">
        <w:rPr>
          <w:rFonts w:asciiTheme="minorHAnsi" w:eastAsia="Cambria" w:hAnsiTheme="minorHAnsi" w:cs="Cambria"/>
          <w:b/>
          <w:bCs/>
          <w:color w:val="000000" w:themeColor="text1"/>
          <w:lang w:val="da-DK"/>
        </w:rPr>
        <w:t>Pensionsopsparing i unoterede aktier</w:t>
      </w:r>
    </w:p>
    <w:p w14:paraId="5BB20750"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Når du investerer pensionsmidler, skal du være opmærksom på, at der gælder særlige regler for, hvordan du investerer opsparingen. Der er følgende loft for, hvor meget der må investeres:</w:t>
      </w:r>
    </w:p>
    <w:p w14:paraId="57CF7D53"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p>
    <w:p w14:paraId="4E07BD42" w14:textId="3F06D55B" w:rsidR="00AF3273" w:rsidRPr="00AF3273" w:rsidRDefault="00AF3273" w:rsidP="00CF3924">
      <w:pPr>
        <w:pStyle w:val="Brdtekst"/>
        <w:numPr>
          <w:ilvl w:val="0"/>
          <w:numId w:val="2"/>
        </w:numPr>
        <w:spacing w:line="244" w:lineRule="auto"/>
        <w:ind w:left="426" w:right="-140"/>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 xml:space="preserve">20% af pensionsformuen under 2 mio. kr. opsparet i samme </w:t>
      </w:r>
      <w:r w:rsidR="00CF3924">
        <w:rPr>
          <w:rFonts w:asciiTheme="minorHAnsi" w:hAnsiTheme="minorHAnsi"/>
          <w:color w:val="808080" w:themeColor="background1" w:themeShade="80"/>
          <w:lang w:val="da-DK"/>
        </w:rPr>
        <w:t>b</w:t>
      </w:r>
      <w:r w:rsidRPr="00AF3273">
        <w:rPr>
          <w:rFonts w:asciiTheme="minorHAnsi" w:hAnsiTheme="minorHAnsi"/>
          <w:color w:val="808080" w:themeColor="background1" w:themeShade="80"/>
          <w:lang w:val="da-DK"/>
        </w:rPr>
        <w:t>ank</w:t>
      </w:r>
    </w:p>
    <w:p w14:paraId="19F45A3B" w14:textId="56FF5944" w:rsidR="00AF3273" w:rsidRPr="00AF3273" w:rsidRDefault="00AF3273" w:rsidP="00CF3924">
      <w:pPr>
        <w:pStyle w:val="Brdtekst"/>
        <w:numPr>
          <w:ilvl w:val="0"/>
          <w:numId w:val="2"/>
        </w:numPr>
        <w:spacing w:line="244" w:lineRule="auto"/>
        <w:ind w:left="426" w:right="-140"/>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 xml:space="preserve">50% af </w:t>
      </w:r>
      <w:proofErr w:type="spellStart"/>
      <w:r w:rsidRPr="00AF3273">
        <w:rPr>
          <w:rFonts w:asciiTheme="minorHAnsi" w:hAnsiTheme="minorHAnsi"/>
          <w:color w:val="808080" w:themeColor="background1" w:themeShade="80"/>
          <w:lang w:val="da-DK"/>
        </w:rPr>
        <w:t>pensionsfomuen</w:t>
      </w:r>
      <w:proofErr w:type="spellEnd"/>
      <w:r w:rsidRPr="00AF3273">
        <w:rPr>
          <w:rFonts w:asciiTheme="minorHAnsi" w:hAnsiTheme="minorHAnsi"/>
          <w:color w:val="808080" w:themeColor="background1" w:themeShade="80"/>
          <w:lang w:val="da-DK"/>
        </w:rPr>
        <w:t xml:space="preserve"> mellem 2-4 mio. kr. opsparet i samme </w:t>
      </w:r>
      <w:r w:rsidR="00CF3924">
        <w:rPr>
          <w:rFonts w:asciiTheme="minorHAnsi" w:hAnsiTheme="minorHAnsi"/>
          <w:color w:val="808080" w:themeColor="background1" w:themeShade="80"/>
          <w:lang w:val="da-DK"/>
        </w:rPr>
        <w:t>b</w:t>
      </w:r>
      <w:r w:rsidRPr="00AF3273">
        <w:rPr>
          <w:rFonts w:asciiTheme="minorHAnsi" w:hAnsiTheme="minorHAnsi"/>
          <w:color w:val="808080" w:themeColor="background1" w:themeShade="80"/>
          <w:lang w:val="da-DK"/>
        </w:rPr>
        <w:t>ank</w:t>
      </w:r>
    </w:p>
    <w:p w14:paraId="4E364753" w14:textId="77777777" w:rsidR="00AF3273" w:rsidRPr="00AF3273" w:rsidRDefault="00AF3273" w:rsidP="00AF3273">
      <w:pPr>
        <w:pStyle w:val="Brdtekst"/>
        <w:numPr>
          <w:ilvl w:val="0"/>
          <w:numId w:val="2"/>
        </w:numPr>
        <w:spacing w:line="244" w:lineRule="auto"/>
        <w:ind w:left="426"/>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75% af pensionsformuen over 4 mio. kr. opsparet i samme bank</w:t>
      </w:r>
    </w:p>
    <w:p w14:paraId="135B1658"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p>
    <w:p w14:paraId="30442411" w14:textId="77777777" w:rsidR="005B38F4" w:rsidRDefault="00AF3273" w:rsidP="00AF3273">
      <w:pPr>
        <w:pStyle w:val="Brdtekst"/>
        <w:spacing w:before="2" w:line="244" w:lineRule="auto"/>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 xml:space="preserve">Yderligere skal den enkelte investering være på mindst 100.000 kr., og investor må ikke eje 25% eller mere af kapitalen i et unoteret selskab. </w:t>
      </w:r>
    </w:p>
    <w:p w14:paraId="5012B836" w14:textId="0E33C4BC" w:rsidR="00AF3273" w:rsidRPr="00AF3273" w:rsidRDefault="00AF3273" w:rsidP="00AF3273">
      <w:pPr>
        <w:pStyle w:val="Brdtekst"/>
        <w:spacing w:before="2" w:line="244" w:lineRule="auto"/>
        <w:rPr>
          <w:rFonts w:asciiTheme="minorHAnsi" w:hAnsiTheme="minorHAnsi"/>
          <w:color w:val="808080" w:themeColor="background1" w:themeShade="80"/>
          <w:lang w:val="da-DK"/>
        </w:rPr>
      </w:pPr>
      <w:r w:rsidRPr="00AF3273">
        <w:rPr>
          <w:rFonts w:asciiTheme="minorHAnsi" w:hAnsiTheme="minorHAnsi"/>
          <w:color w:val="808080" w:themeColor="background1" w:themeShade="80"/>
          <w:lang w:val="da-DK"/>
        </w:rPr>
        <w:t>Kontakt os for yderligere rådgivning om dette.</w:t>
      </w:r>
    </w:p>
    <w:p w14:paraId="7931C8B4" w14:textId="77777777" w:rsidR="00AF3273" w:rsidRPr="00AF3273" w:rsidRDefault="00AF3273" w:rsidP="00AF3273">
      <w:pPr>
        <w:pStyle w:val="Brdtekst"/>
        <w:spacing w:before="2" w:line="244" w:lineRule="auto"/>
        <w:rPr>
          <w:rFonts w:asciiTheme="minorHAnsi" w:hAnsiTheme="minorHAnsi"/>
          <w:color w:val="808080" w:themeColor="background1" w:themeShade="80"/>
          <w:lang w:val="da-DK"/>
        </w:rPr>
      </w:pPr>
    </w:p>
    <w:p w14:paraId="05EDA079" w14:textId="77777777" w:rsidR="005B54B8" w:rsidRPr="00971A87" w:rsidRDefault="005B54B8" w:rsidP="005B54B8">
      <w:pPr>
        <w:pStyle w:val="Overskrift1"/>
        <w:ind w:left="0" w:right="46"/>
        <w:rPr>
          <w:rFonts w:asciiTheme="minorHAnsi" w:hAnsiTheme="minorHAnsi"/>
          <w:color w:val="000000" w:themeColor="text1"/>
          <w:lang w:val="da-DK"/>
        </w:rPr>
      </w:pPr>
      <w:r w:rsidRPr="00971A87">
        <w:rPr>
          <w:rFonts w:asciiTheme="minorHAnsi" w:hAnsiTheme="minorHAnsi"/>
          <w:color w:val="000000" w:themeColor="text1"/>
          <w:lang w:val="da-DK"/>
        </w:rPr>
        <w:t>Skat</w:t>
      </w:r>
    </w:p>
    <w:p w14:paraId="0831F7D6" w14:textId="77777777" w:rsidR="005B54B8" w:rsidRPr="00971A87" w:rsidRDefault="005B54B8" w:rsidP="005B54B8">
      <w:pPr>
        <w:pStyle w:val="Brdtekst"/>
        <w:spacing w:before="2" w:line="244" w:lineRule="auto"/>
        <w:ind w:right="46"/>
        <w:rPr>
          <w:rFonts w:asciiTheme="minorHAnsi" w:hAnsiTheme="minorHAnsi"/>
          <w:color w:val="808080" w:themeColor="background1" w:themeShade="80"/>
          <w:lang w:val="da-DK"/>
        </w:rPr>
      </w:pPr>
      <w:r w:rsidRPr="00971A87">
        <w:rPr>
          <w:rFonts w:asciiTheme="minorHAnsi" w:hAnsiTheme="minorHAnsi"/>
          <w:color w:val="808080" w:themeColor="background1" w:themeShade="80"/>
          <w:spacing w:val="-3"/>
          <w:lang w:val="da-DK"/>
        </w:rPr>
        <w:t xml:space="preserve">Den </w:t>
      </w:r>
      <w:r w:rsidRPr="00971A87">
        <w:rPr>
          <w:rFonts w:asciiTheme="minorHAnsi" w:hAnsiTheme="minorHAnsi"/>
          <w:color w:val="808080" w:themeColor="background1" w:themeShade="80"/>
          <w:spacing w:val="-4"/>
          <w:lang w:val="da-DK"/>
        </w:rPr>
        <w:t xml:space="preserve">skattemæssige behandling </w:t>
      </w:r>
      <w:r w:rsidRPr="00971A87">
        <w:rPr>
          <w:rFonts w:asciiTheme="minorHAnsi" w:hAnsiTheme="minorHAnsi"/>
          <w:color w:val="808080" w:themeColor="background1" w:themeShade="80"/>
          <w:lang w:val="da-DK"/>
        </w:rPr>
        <w:t xml:space="preserve">af </w:t>
      </w:r>
      <w:r w:rsidRPr="00971A87">
        <w:rPr>
          <w:rFonts w:asciiTheme="minorHAnsi" w:hAnsiTheme="minorHAnsi"/>
          <w:color w:val="808080" w:themeColor="background1" w:themeShade="80"/>
          <w:spacing w:val="-5"/>
          <w:lang w:val="da-DK"/>
        </w:rPr>
        <w:t xml:space="preserve">afkast </w:t>
      </w:r>
      <w:r w:rsidRPr="00971A87">
        <w:rPr>
          <w:rFonts w:asciiTheme="minorHAnsi" w:hAnsiTheme="minorHAnsi"/>
          <w:color w:val="808080" w:themeColor="background1" w:themeShade="80"/>
          <w:spacing w:val="-4"/>
          <w:lang w:val="da-DK"/>
        </w:rPr>
        <w:t xml:space="preserve">fra aktieinvesteringer </w:t>
      </w:r>
      <w:r w:rsidRPr="00971A87">
        <w:rPr>
          <w:rFonts w:asciiTheme="minorHAnsi" w:hAnsiTheme="minorHAnsi"/>
          <w:color w:val="808080" w:themeColor="background1" w:themeShade="80"/>
          <w:lang w:val="da-DK"/>
        </w:rPr>
        <w:t xml:space="preserve">er </w:t>
      </w:r>
      <w:r w:rsidRPr="00971A87">
        <w:rPr>
          <w:rFonts w:asciiTheme="minorHAnsi" w:hAnsiTheme="minorHAnsi"/>
          <w:color w:val="808080" w:themeColor="background1" w:themeShade="80"/>
          <w:spacing w:val="-5"/>
          <w:lang w:val="da-DK"/>
        </w:rPr>
        <w:t xml:space="preserve">forskellig, </w:t>
      </w:r>
      <w:r w:rsidRPr="00971A87">
        <w:rPr>
          <w:rFonts w:asciiTheme="minorHAnsi" w:hAnsiTheme="minorHAnsi"/>
          <w:color w:val="808080" w:themeColor="background1" w:themeShade="80"/>
          <w:spacing w:val="-3"/>
          <w:lang w:val="da-DK"/>
        </w:rPr>
        <w:t xml:space="preserve">alt </w:t>
      </w:r>
      <w:r w:rsidRPr="00971A87">
        <w:rPr>
          <w:rFonts w:asciiTheme="minorHAnsi" w:hAnsiTheme="minorHAnsi"/>
          <w:color w:val="808080" w:themeColor="background1" w:themeShade="80"/>
          <w:spacing w:val="-4"/>
          <w:lang w:val="da-DK"/>
        </w:rPr>
        <w:t xml:space="preserve">efter hvilken </w:t>
      </w:r>
      <w:r w:rsidRPr="00971A87">
        <w:rPr>
          <w:rFonts w:asciiTheme="minorHAnsi" w:hAnsiTheme="minorHAnsi"/>
          <w:color w:val="808080" w:themeColor="background1" w:themeShade="80"/>
          <w:spacing w:val="-3"/>
          <w:lang w:val="da-DK"/>
        </w:rPr>
        <w:t xml:space="preserve">type </w:t>
      </w:r>
      <w:r w:rsidRPr="00971A87">
        <w:rPr>
          <w:rFonts w:asciiTheme="minorHAnsi" w:hAnsiTheme="minorHAnsi"/>
          <w:color w:val="808080" w:themeColor="background1" w:themeShade="80"/>
          <w:spacing w:val="-4"/>
          <w:lang w:val="da-DK"/>
        </w:rPr>
        <w:t xml:space="preserve">midler </w:t>
      </w:r>
      <w:r w:rsidRPr="00971A87">
        <w:rPr>
          <w:rFonts w:asciiTheme="minorHAnsi" w:hAnsiTheme="minorHAnsi"/>
          <w:color w:val="808080" w:themeColor="background1" w:themeShade="80"/>
          <w:lang w:val="da-DK"/>
        </w:rPr>
        <w:t xml:space="preserve">du </w:t>
      </w:r>
      <w:r w:rsidRPr="00971A87">
        <w:rPr>
          <w:rFonts w:asciiTheme="minorHAnsi" w:hAnsiTheme="minorHAnsi"/>
          <w:color w:val="808080" w:themeColor="background1" w:themeShade="80"/>
          <w:spacing w:val="-4"/>
          <w:lang w:val="da-DK"/>
        </w:rPr>
        <w:t xml:space="preserve">anvender </w:t>
      </w:r>
      <w:r w:rsidRPr="00971A87">
        <w:rPr>
          <w:rFonts w:asciiTheme="minorHAnsi" w:hAnsiTheme="minorHAnsi"/>
          <w:color w:val="808080" w:themeColor="background1" w:themeShade="80"/>
          <w:spacing w:val="-3"/>
          <w:lang w:val="da-DK"/>
        </w:rPr>
        <w:t xml:space="preserve">til </w:t>
      </w:r>
      <w:r w:rsidRPr="00971A87">
        <w:rPr>
          <w:rFonts w:asciiTheme="minorHAnsi" w:hAnsiTheme="minorHAnsi"/>
          <w:color w:val="808080" w:themeColor="background1" w:themeShade="80"/>
          <w:spacing w:val="-4"/>
          <w:lang w:val="da-DK"/>
        </w:rPr>
        <w:t xml:space="preserve">investering. </w:t>
      </w:r>
      <w:r w:rsidRPr="00971A87">
        <w:rPr>
          <w:rFonts w:asciiTheme="minorHAnsi" w:hAnsiTheme="minorHAnsi"/>
          <w:color w:val="808080" w:themeColor="background1" w:themeShade="80"/>
          <w:spacing w:val="-3"/>
          <w:lang w:val="da-DK"/>
        </w:rPr>
        <w:t xml:space="preserve">Der </w:t>
      </w:r>
      <w:r w:rsidRPr="00971A87">
        <w:rPr>
          <w:rFonts w:asciiTheme="minorHAnsi" w:hAnsiTheme="minorHAnsi"/>
          <w:color w:val="808080" w:themeColor="background1" w:themeShade="80"/>
          <w:lang w:val="da-DK"/>
        </w:rPr>
        <w:t xml:space="preserve">er </w:t>
      </w:r>
      <w:r w:rsidRPr="00971A87">
        <w:rPr>
          <w:rFonts w:asciiTheme="minorHAnsi" w:hAnsiTheme="minorHAnsi"/>
          <w:color w:val="808080" w:themeColor="background1" w:themeShade="80"/>
          <w:spacing w:val="-3"/>
          <w:lang w:val="da-DK"/>
        </w:rPr>
        <w:t xml:space="preserve">med </w:t>
      </w:r>
      <w:r w:rsidRPr="00971A87">
        <w:rPr>
          <w:rFonts w:asciiTheme="minorHAnsi" w:hAnsiTheme="minorHAnsi"/>
          <w:color w:val="808080" w:themeColor="background1" w:themeShade="80"/>
          <w:spacing w:val="-4"/>
          <w:lang w:val="da-DK"/>
        </w:rPr>
        <w:t xml:space="preserve">andre ord </w:t>
      </w:r>
      <w:r w:rsidRPr="00971A87">
        <w:rPr>
          <w:rFonts w:asciiTheme="minorHAnsi" w:hAnsiTheme="minorHAnsi"/>
          <w:color w:val="808080" w:themeColor="background1" w:themeShade="80"/>
          <w:spacing w:val="-5"/>
          <w:lang w:val="da-DK"/>
        </w:rPr>
        <w:t xml:space="preserve">forskel </w:t>
      </w:r>
      <w:r w:rsidRPr="00971A87">
        <w:rPr>
          <w:rFonts w:asciiTheme="minorHAnsi" w:hAnsiTheme="minorHAnsi"/>
          <w:color w:val="808080" w:themeColor="background1" w:themeShade="80"/>
          <w:lang w:val="da-DK"/>
        </w:rPr>
        <w:t xml:space="preserve">på </w:t>
      </w:r>
      <w:r w:rsidRPr="00971A87">
        <w:rPr>
          <w:rFonts w:asciiTheme="minorHAnsi" w:hAnsiTheme="minorHAnsi"/>
          <w:color w:val="808080" w:themeColor="background1" w:themeShade="80"/>
          <w:spacing w:val="-3"/>
          <w:lang w:val="da-DK"/>
        </w:rPr>
        <w:t>be</w:t>
      </w:r>
      <w:r w:rsidRPr="00971A87">
        <w:rPr>
          <w:rFonts w:asciiTheme="minorHAnsi" w:hAnsiTheme="minorHAnsi"/>
          <w:color w:val="808080" w:themeColor="background1" w:themeShade="80"/>
          <w:spacing w:val="-4"/>
          <w:lang w:val="da-DK"/>
        </w:rPr>
        <w:t xml:space="preserve">skatningen </w:t>
      </w:r>
      <w:r w:rsidRPr="00971A87">
        <w:rPr>
          <w:rFonts w:asciiTheme="minorHAnsi" w:hAnsiTheme="minorHAnsi"/>
          <w:color w:val="808080" w:themeColor="background1" w:themeShade="80"/>
          <w:lang w:val="da-DK"/>
        </w:rPr>
        <w:t xml:space="preserve">af </w:t>
      </w:r>
      <w:r w:rsidRPr="00971A87">
        <w:rPr>
          <w:rFonts w:asciiTheme="minorHAnsi" w:hAnsiTheme="minorHAnsi"/>
          <w:color w:val="808080" w:themeColor="background1" w:themeShade="80"/>
          <w:spacing w:val="-4"/>
          <w:lang w:val="da-DK"/>
        </w:rPr>
        <w:t xml:space="preserve">aktieafkast, </w:t>
      </w:r>
      <w:r w:rsidRPr="00971A87">
        <w:rPr>
          <w:rFonts w:asciiTheme="minorHAnsi" w:hAnsiTheme="minorHAnsi"/>
          <w:color w:val="808080" w:themeColor="background1" w:themeShade="80"/>
          <w:spacing w:val="-3"/>
          <w:lang w:val="da-DK"/>
        </w:rPr>
        <w:t xml:space="preserve">som </w:t>
      </w:r>
      <w:r w:rsidRPr="00971A87">
        <w:rPr>
          <w:rFonts w:asciiTheme="minorHAnsi" w:hAnsiTheme="minorHAnsi"/>
          <w:color w:val="808080" w:themeColor="background1" w:themeShade="80"/>
          <w:spacing w:val="-4"/>
          <w:lang w:val="da-DK"/>
        </w:rPr>
        <w:t xml:space="preserve">stammer fra investering </w:t>
      </w:r>
      <w:r w:rsidRPr="00971A87">
        <w:rPr>
          <w:rFonts w:asciiTheme="minorHAnsi" w:hAnsiTheme="minorHAnsi"/>
          <w:color w:val="808080" w:themeColor="background1" w:themeShade="80"/>
          <w:lang w:val="da-DK"/>
        </w:rPr>
        <w:t xml:space="preserve">af </w:t>
      </w:r>
      <w:r w:rsidRPr="00971A87">
        <w:rPr>
          <w:rFonts w:asciiTheme="minorHAnsi" w:hAnsiTheme="minorHAnsi"/>
          <w:color w:val="808080" w:themeColor="background1" w:themeShade="80"/>
          <w:spacing w:val="-4"/>
          <w:lang w:val="da-DK"/>
        </w:rPr>
        <w:t xml:space="preserve">henholdsvis </w:t>
      </w:r>
      <w:r w:rsidRPr="00971A87">
        <w:rPr>
          <w:rFonts w:asciiTheme="minorHAnsi" w:hAnsiTheme="minorHAnsi"/>
          <w:color w:val="808080" w:themeColor="background1" w:themeShade="80"/>
          <w:spacing w:val="-3"/>
          <w:lang w:val="da-DK"/>
        </w:rPr>
        <w:t xml:space="preserve">frie </w:t>
      </w:r>
      <w:r w:rsidRPr="00971A87">
        <w:rPr>
          <w:rFonts w:asciiTheme="minorHAnsi" w:hAnsiTheme="minorHAnsi"/>
          <w:color w:val="808080" w:themeColor="background1" w:themeShade="80"/>
          <w:spacing w:val="-5"/>
          <w:lang w:val="da-DK"/>
        </w:rPr>
        <w:t xml:space="preserve">midler, </w:t>
      </w:r>
      <w:r w:rsidRPr="00971A87">
        <w:rPr>
          <w:rFonts w:asciiTheme="minorHAnsi" w:hAnsiTheme="minorHAnsi"/>
          <w:color w:val="808080" w:themeColor="background1" w:themeShade="80"/>
          <w:spacing w:val="-3"/>
          <w:lang w:val="da-DK"/>
        </w:rPr>
        <w:t>pen</w:t>
      </w:r>
      <w:r w:rsidRPr="00971A87">
        <w:rPr>
          <w:rFonts w:asciiTheme="minorHAnsi" w:hAnsiTheme="minorHAnsi"/>
          <w:color w:val="808080" w:themeColor="background1" w:themeShade="80"/>
          <w:spacing w:val="-4"/>
          <w:lang w:val="da-DK"/>
        </w:rPr>
        <w:t xml:space="preserve">sionsopsparing, børneopsparing eller selskabs midler. Aktier egner sig ikke til investering af midler </w:t>
      </w:r>
      <w:r w:rsidRPr="00971A87">
        <w:rPr>
          <w:rFonts w:asciiTheme="minorHAnsi" w:hAnsiTheme="minorHAnsi"/>
          <w:color w:val="808080" w:themeColor="background1" w:themeShade="80"/>
          <w:lang w:val="da-DK"/>
        </w:rPr>
        <w:t>i</w:t>
      </w:r>
      <w:r w:rsidRPr="00971A87">
        <w:rPr>
          <w:rFonts w:asciiTheme="minorHAnsi" w:hAnsiTheme="minorHAnsi"/>
          <w:color w:val="808080" w:themeColor="background1" w:themeShade="80"/>
          <w:spacing w:val="35"/>
          <w:lang w:val="da-DK"/>
        </w:rPr>
        <w:t xml:space="preserve"> </w:t>
      </w:r>
      <w:r w:rsidRPr="00971A87">
        <w:rPr>
          <w:rFonts w:asciiTheme="minorHAnsi" w:hAnsiTheme="minorHAnsi"/>
          <w:color w:val="808080" w:themeColor="background1" w:themeShade="80"/>
          <w:spacing w:val="-5"/>
          <w:lang w:val="da-DK"/>
        </w:rPr>
        <w:t>virksomhedsordningen.</w:t>
      </w:r>
    </w:p>
    <w:p w14:paraId="7FFD70DB" w14:textId="77777777" w:rsidR="005B54B8" w:rsidRPr="00971A87" w:rsidRDefault="005B54B8" w:rsidP="005B54B8">
      <w:pPr>
        <w:pStyle w:val="Brdtekst"/>
        <w:spacing w:before="5"/>
        <w:rPr>
          <w:rFonts w:asciiTheme="minorHAnsi" w:hAnsiTheme="minorHAnsi"/>
          <w:color w:val="808080" w:themeColor="background1" w:themeShade="80"/>
          <w:lang w:val="da-DK"/>
        </w:rPr>
      </w:pPr>
    </w:p>
    <w:p w14:paraId="1F5A77AA" w14:textId="5C4CAF4E" w:rsidR="004B28D5" w:rsidRPr="005B38F4" w:rsidRDefault="005B54B8" w:rsidP="001B0B93">
      <w:pPr>
        <w:pStyle w:val="Brdtekst"/>
        <w:spacing w:line="244" w:lineRule="auto"/>
        <w:rPr>
          <w:color w:val="808080" w:themeColor="background1" w:themeShade="80"/>
          <w:lang w:val="da-DK"/>
        </w:rPr>
        <w:sectPr w:rsidR="004B28D5" w:rsidRPr="005B38F4" w:rsidSect="00CF3924">
          <w:type w:val="continuous"/>
          <w:pgSz w:w="11906" w:h="16838"/>
          <w:pgMar w:top="1701" w:right="1134" w:bottom="1701" w:left="1134" w:header="708" w:footer="708" w:gutter="0"/>
          <w:cols w:num="3" w:space="563"/>
          <w:docGrid w:linePitch="360"/>
        </w:sectPr>
      </w:pPr>
      <w:r w:rsidRPr="00971A87">
        <w:rPr>
          <w:rFonts w:asciiTheme="minorHAnsi" w:hAnsiTheme="minorHAnsi"/>
          <w:color w:val="808080" w:themeColor="background1" w:themeShade="80"/>
          <w:lang w:val="da-DK"/>
        </w:rPr>
        <w:t>Den skattemæssige behandling kan variere og ændre sig afhængig af dine skattemæssige forhold, eller som følge af ændrede regler for beskatning. Vi anbefaler, at du kontakter en rådgiver om skattemæssige konsekvenser af en investering.</w:t>
      </w:r>
    </w:p>
    <w:p w14:paraId="6CAD853A" w14:textId="2B32D59A" w:rsidR="003A2BD3" w:rsidRPr="00971A87" w:rsidRDefault="00913049" w:rsidP="004B28D5">
      <w:pPr>
        <w:spacing w:after="0" w:line="240" w:lineRule="auto"/>
        <w:rPr>
          <w:color w:val="808080" w:themeColor="background1" w:themeShade="80"/>
        </w:rPr>
      </w:pPr>
      <w:bookmarkStart w:id="0" w:name="_GoBack"/>
      <w:bookmarkEnd w:id="0"/>
      <w:r>
        <w:rPr>
          <w:noProof/>
          <w:lang w:eastAsia="da-DK"/>
        </w:rPr>
        <mc:AlternateContent>
          <mc:Choice Requires="wpg">
            <w:drawing>
              <wp:anchor distT="0" distB="0" distL="114300" distR="114300" simplePos="0" relativeHeight="251659264" behindDoc="0" locked="0" layoutInCell="1" allowOverlap="1" wp14:anchorId="583934A2" wp14:editId="0F59DE87">
                <wp:simplePos x="0" y="0"/>
                <wp:positionH relativeFrom="margin">
                  <wp:posOffset>103505</wp:posOffset>
                </wp:positionH>
                <wp:positionV relativeFrom="paragraph">
                  <wp:posOffset>274811</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7ACC976F" w14:textId="77777777" w:rsidR="00913049" w:rsidRPr="00321A8B" w:rsidRDefault="00913049" w:rsidP="00913049">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15DA88B2" w14:textId="77777777" w:rsidR="00913049" w:rsidRPr="00321A8B" w:rsidRDefault="00913049" w:rsidP="00913049">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AC271" w14:textId="77777777" w:rsidR="00913049" w:rsidRPr="00321A8B" w:rsidRDefault="00913049" w:rsidP="00913049">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26894" w14:textId="77777777" w:rsidR="00913049" w:rsidRPr="00321A8B" w:rsidRDefault="00913049" w:rsidP="00913049">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583934A2" id="Gruppe 7" o:spid="_x0000_s1026" style="position:absolute;margin-left:8.15pt;margin-top:21.65pt;width:438pt;height:59.3pt;z-index:251659264;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7ACC976F" w14:textId="77777777" w:rsidR="00913049" w:rsidRPr="00321A8B" w:rsidRDefault="00913049" w:rsidP="00913049">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15DA88B2" w14:textId="77777777" w:rsidR="00913049" w:rsidRPr="00321A8B" w:rsidRDefault="00913049" w:rsidP="00913049">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BBAC271" w14:textId="77777777" w:rsidR="00913049" w:rsidRPr="00321A8B" w:rsidRDefault="00913049" w:rsidP="00913049">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6C26894" w14:textId="77777777" w:rsidR="00913049" w:rsidRPr="00321A8B" w:rsidRDefault="00913049" w:rsidP="00913049">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3A2BD3"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DA75166"/>
    <w:multiLevelType w:val="hybridMultilevel"/>
    <w:tmpl w:val="E53CC414"/>
    <w:lvl w:ilvl="0" w:tplc="04060001">
      <w:start w:val="1"/>
      <w:numFmt w:val="bullet"/>
      <w:lvlText w:val=""/>
      <w:lvlJc w:val="left"/>
      <w:pPr>
        <w:ind w:left="1052" w:hanging="360"/>
      </w:pPr>
      <w:rPr>
        <w:rFonts w:ascii="Symbol" w:hAnsi="Symbol" w:hint="default"/>
      </w:rPr>
    </w:lvl>
    <w:lvl w:ilvl="1" w:tplc="04060003" w:tentative="1">
      <w:start w:val="1"/>
      <w:numFmt w:val="bullet"/>
      <w:lvlText w:val="o"/>
      <w:lvlJc w:val="left"/>
      <w:pPr>
        <w:ind w:left="1772" w:hanging="360"/>
      </w:pPr>
      <w:rPr>
        <w:rFonts w:ascii="Courier New" w:hAnsi="Courier New" w:cs="Courier New" w:hint="default"/>
      </w:rPr>
    </w:lvl>
    <w:lvl w:ilvl="2" w:tplc="04060005" w:tentative="1">
      <w:start w:val="1"/>
      <w:numFmt w:val="bullet"/>
      <w:lvlText w:val=""/>
      <w:lvlJc w:val="left"/>
      <w:pPr>
        <w:ind w:left="2492" w:hanging="360"/>
      </w:pPr>
      <w:rPr>
        <w:rFonts w:ascii="Wingdings" w:hAnsi="Wingdings" w:hint="default"/>
      </w:rPr>
    </w:lvl>
    <w:lvl w:ilvl="3" w:tplc="04060001" w:tentative="1">
      <w:start w:val="1"/>
      <w:numFmt w:val="bullet"/>
      <w:lvlText w:val=""/>
      <w:lvlJc w:val="left"/>
      <w:pPr>
        <w:ind w:left="3212" w:hanging="360"/>
      </w:pPr>
      <w:rPr>
        <w:rFonts w:ascii="Symbol" w:hAnsi="Symbol" w:hint="default"/>
      </w:rPr>
    </w:lvl>
    <w:lvl w:ilvl="4" w:tplc="04060003" w:tentative="1">
      <w:start w:val="1"/>
      <w:numFmt w:val="bullet"/>
      <w:lvlText w:val="o"/>
      <w:lvlJc w:val="left"/>
      <w:pPr>
        <w:ind w:left="3932" w:hanging="360"/>
      </w:pPr>
      <w:rPr>
        <w:rFonts w:ascii="Courier New" w:hAnsi="Courier New" w:cs="Courier New" w:hint="default"/>
      </w:rPr>
    </w:lvl>
    <w:lvl w:ilvl="5" w:tplc="04060005" w:tentative="1">
      <w:start w:val="1"/>
      <w:numFmt w:val="bullet"/>
      <w:lvlText w:val=""/>
      <w:lvlJc w:val="left"/>
      <w:pPr>
        <w:ind w:left="4652" w:hanging="360"/>
      </w:pPr>
      <w:rPr>
        <w:rFonts w:ascii="Wingdings" w:hAnsi="Wingdings" w:hint="default"/>
      </w:rPr>
    </w:lvl>
    <w:lvl w:ilvl="6" w:tplc="04060001" w:tentative="1">
      <w:start w:val="1"/>
      <w:numFmt w:val="bullet"/>
      <w:lvlText w:val=""/>
      <w:lvlJc w:val="left"/>
      <w:pPr>
        <w:ind w:left="5372" w:hanging="360"/>
      </w:pPr>
      <w:rPr>
        <w:rFonts w:ascii="Symbol" w:hAnsi="Symbol" w:hint="default"/>
      </w:rPr>
    </w:lvl>
    <w:lvl w:ilvl="7" w:tplc="04060003" w:tentative="1">
      <w:start w:val="1"/>
      <w:numFmt w:val="bullet"/>
      <w:lvlText w:val="o"/>
      <w:lvlJc w:val="left"/>
      <w:pPr>
        <w:ind w:left="6092" w:hanging="360"/>
      </w:pPr>
      <w:rPr>
        <w:rFonts w:ascii="Courier New" w:hAnsi="Courier New" w:cs="Courier New" w:hint="default"/>
      </w:rPr>
    </w:lvl>
    <w:lvl w:ilvl="8" w:tplc="04060005" w:tentative="1">
      <w:start w:val="1"/>
      <w:numFmt w:val="bullet"/>
      <w:lvlText w:val=""/>
      <w:lvlJc w:val="left"/>
      <w:pPr>
        <w:ind w:left="68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971DC"/>
    <w:rsid w:val="00160C2F"/>
    <w:rsid w:val="001B0B93"/>
    <w:rsid w:val="0032049E"/>
    <w:rsid w:val="003A2BD3"/>
    <w:rsid w:val="003D779E"/>
    <w:rsid w:val="004B28D5"/>
    <w:rsid w:val="004F1634"/>
    <w:rsid w:val="005B38F4"/>
    <w:rsid w:val="005B54B8"/>
    <w:rsid w:val="00913049"/>
    <w:rsid w:val="00971A87"/>
    <w:rsid w:val="00AF3273"/>
    <w:rsid w:val="00CF3924"/>
    <w:rsid w:val="00E15B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F5D8"/>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E3A66-C4AC-46CE-91F2-6E171540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A982A974</Template>
  <TotalTime>24</TotalTime>
  <Pages>1</Pages>
  <Words>642</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6</cp:revision>
  <dcterms:created xsi:type="dcterms:W3CDTF">2017-12-08T09:11:00Z</dcterms:created>
  <dcterms:modified xsi:type="dcterms:W3CDTF">2017-12-16T11:59:00Z</dcterms:modified>
</cp:coreProperties>
</file>